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Incident Postmortem: Checkout Latency</w:t>
      </w:r>
    </w:p>
    <w:p>
      <w:r>
        <w:rPr>
          <w:i/>
          <w:color w:val="475569"/>
        </w:rPr>
        <w:t>A blameless operational review with impact, timeline, causal analysis, and owned actions.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0F766E"/>
                <w:sz w:val="17"/>
              </w:rPr>
              <w:t>Incident ID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INC-2026-0718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0F766E"/>
                <w:sz w:val="17"/>
              </w:rPr>
              <w:t>Severity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SEV-2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0F766E"/>
                <w:sz w:val="17"/>
              </w:rPr>
              <w:t>Owner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Priya Nair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0F766E"/>
                <w:sz w:val="17"/>
              </w:rPr>
              <w:t>Window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2026-07-18 14:07-15:02 UTC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0F766E"/>
                <w:sz w:val="17"/>
              </w:rPr>
              <w:t>Affected service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Checkout API - eu-west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0F766E"/>
                <w:sz w:val="17"/>
              </w:rPr>
              <w:t>Status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Resolved; follow-up actions in progress</w:t>
            </w:r>
          </w:p>
        </w:tc>
      </w:tr>
    </w:tbl>
    <w:p>
      <w:pPr>
        <w:pStyle w:val="Heading1"/>
      </w:pPr>
      <w:r>
        <w:t>Executive summary</w:t>
      </w:r>
    </w:p>
    <w:p>
      <w:r>
        <w:t>A connection-pool limit introduced during a routine database proxy rollout caused elevated checkout latency in eu-west. Requests queued behind exhausted connections, and the retry policy amplified load. The team rolled back the proxy configuration and restored normal latency within 55 minutes.</w:t>
      </w:r>
    </w:p>
    <w:p>
      <w:r>
        <w:t>This review is blameless: the failure emerged from interacting safeguards, incomplete load-test coverage, and an alert that measured errors but not queue time.</w:t>
      </w:r>
    </w:p>
    <w:p>
      <w:pPr>
        <w:pStyle w:val="Heading1"/>
      </w:pPr>
      <w:r>
        <w:t>Customer impact</w:t>
      </w:r>
    </w:p>
    <w:p>
      <w:pPr>
        <w:pStyle w:val="ListBullet"/>
      </w:pPr>
      <w:r>
        <w:t>8.7% of checkout requests exceeded five seconds.</w:t>
      </w:r>
    </w:p>
    <w:p>
      <w:pPr>
        <w:pStyle w:val="ListBullet"/>
      </w:pPr>
      <w:r>
        <w:t>2.1% of checkout attempts returned a timeout before payment authorisation.</w:t>
      </w:r>
    </w:p>
    <w:p>
      <w:pPr>
        <w:pStyle w:val="ListBullet"/>
      </w:pPr>
      <w:r>
        <w:t>No duplicate charges, data loss, or security exposure occurred.</w:t>
      </w:r>
    </w:p>
    <w:p>
      <w:pPr>
        <w:pStyle w:val="ListBullet"/>
      </w:pPr>
      <w:r>
        <w:t>Support received 43 related contacts; all affected carts remained recoverable.</w:t>
      </w:r>
    </w:p>
    <w:p>
      <w:pPr>
        <w:pStyle w:val="Heading1"/>
      </w:pPr>
      <w:r>
        <w:t>Timeline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0F766E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7"/>
              </w:rPr>
              <w:t>UTC</w:t>
            </w:r>
          </w:p>
        </w:tc>
        <w:tc>
          <w:tcPr>
            <w:tcW w:type="dxa" w:w="3408"/>
            <w:shd w:fill="0F766E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7"/>
              </w:rPr>
              <w:t>Event</w:t>
            </w:r>
          </w:p>
        </w:tc>
        <w:tc>
          <w:tcPr>
            <w:tcW w:type="dxa" w:w="3408"/>
            <w:shd w:fill="0F766E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7"/>
              </w:rPr>
              <w:t>Owner</w:t>
            </w:r>
          </w:p>
        </w:tc>
      </w:tr>
      <w:tr>
        <w:tc>
          <w:tcPr>
            <w:tcW w:type="dxa" w:w="3408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14:07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Database proxy configuration deployed to eu-west.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Release bot</w:t>
            </w:r>
          </w:p>
        </w:tc>
      </w:tr>
      <w:tr>
        <w:tc>
          <w:tcPr>
            <w:tcW w:type="dxa" w:w="3408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14:14</w:t>
            </w:r>
          </w:p>
        </w:tc>
        <w:tc>
          <w:tcPr>
            <w:tcW w:type="dxa" w:w="3408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P95 checkout latency crossed the service objective.</w:t>
            </w:r>
          </w:p>
        </w:tc>
        <w:tc>
          <w:tcPr>
            <w:tcW w:type="dxa" w:w="3408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Monitoring</w:t>
            </w:r>
          </w:p>
        </w:tc>
      </w:tr>
      <w:tr>
        <w:tc>
          <w:tcPr>
            <w:tcW w:type="dxa" w:w="3408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14:19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Support linked three timeout reports and paged on-call.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N. Brooks</w:t>
            </w:r>
          </w:p>
        </w:tc>
      </w:tr>
      <w:tr>
        <w:tc>
          <w:tcPr>
            <w:tcW w:type="dxa" w:w="3408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14:26</w:t>
            </w:r>
          </w:p>
        </w:tc>
        <w:tc>
          <w:tcPr>
            <w:tcW w:type="dxa" w:w="3408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Incident declared SEV-2; change freeze started.</w:t>
            </w:r>
          </w:p>
        </w:tc>
        <w:tc>
          <w:tcPr>
            <w:tcW w:type="dxa" w:w="3408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P. Nair</w:t>
            </w:r>
          </w:p>
        </w:tc>
      </w:tr>
      <w:tr>
        <w:tc>
          <w:tcPr>
            <w:tcW w:type="dxa" w:w="3408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14:38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Connection saturation identified in proxy metrics.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D. Okafor</w:t>
            </w:r>
          </w:p>
        </w:tc>
      </w:tr>
      <w:tr>
        <w:tc>
          <w:tcPr>
            <w:tcW w:type="dxa" w:w="3408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14:46</w:t>
            </w:r>
          </w:p>
        </w:tc>
        <w:tc>
          <w:tcPr>
            <w:tcW w:type="dxa" w:w="3408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Rollback approved and initiated.</w:t>
            </w:r>
          </w:p>
        </w:tc>
        <w:tc>
          <w:tcPr>
            <w:tcW w:type="dxa" w:w="3408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P. Nair</w:t>
            </w:r>
          </w:p>
        </w:tc>
      </w:tr>
      <w:tr>
        <w:tc>
          <w:tcPr>
            <w:tcW w:type="dxa" w:w="3408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14:54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Queue depth and P95 latency returned to baseline.</w:t>
            </w:r>
          </w:p>
        </w:tc>
        <w:tc>
          <w:tcPr>
            <w:tcW w:type="dxa" w:w="3408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Monitoring</w:t>
            </w:r>
          </w:p>
        </w:tc>
      </w:tr>
      <w:tr>
        <w:tc>
          <w:tcPr>
            <w:tcW w:type="dxa" w:w="3408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15:02</w:t>
            </w:r>
          </w:p>
        </w:tc>
        <w:tc>
          <w:tcPr>
            <w:tcW w:type="dxa" w:w="3408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Recovery verified; incident moved to monitoring.</w:t>
            </w:r>
          </w:p>
        </w:tc>
        <w:tc>
          <w:tcPr>
            <w:tcW w:type="dxa" w:w="3408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S. Rossi</w:t>
            </w:r>
          </w:p>
        </w:tc>
      </w:tr>
    </w:tbl>
    <w:p>
      <w:pPr>
        <w:spacing w:after="0"/>
      </w:pPr>
    </w:p>
    <w:p>
      <w:pPr>
        <w:pStyle w:val="Heading1"/>
      </w:pPr>
      <w:r>
        <w:t>Root cause and contributing factors</w:t>
      </w:r>
    </w:p>
    <w:p>
      <w:r>
        <w:rPr>
          <w:b/>
        </w:rPr>
        <w:t xml:space="preserve">Root cause: </w:t>
      </w:r>
      <w:r>
        <w:t>The proxy pool was capped below the application's steady-state concurrent connection demand.</w:t>
      </w:r>
    </w:p>
    <w:p>
      <w:r>
        <w:rPr>
          <w:b/>
        </w:rPr>
        <w:t xml:space="preserve">Amplifier: </w:t>
      </w:r>
      <w:r>
        <w:t>Retries used fixed intervals, aligning repeated requests and increasing queue pressure.</w:t>
      </w:r>
    </w:p>
    <w:p>
      <w:r>
        <w:rPr>
          <w:b/>
        </w:rPr>
        <w:t xml:space="preserve">Detection gap: </w:t>
      </w:r>
      <w:r>
        <w:t>The page fired on error rate, while the first visible symptom was rising queue time and latency.</w:t>
      </w:r>
    </w:p>
    <w:p>
      <w:r>
        <w:rPr>
          <w:b/>
        </w:rPr>
        <w:t xml:space="preserve">Test gap: </w:t>
      </w:r>
      <w:r>
        <w:t>Staging load tests used average traffic and did not reproduce the regional peak-concurrency profile.</w:t>
      </w:r>
    </w:p>
    <w:p>
      <w:pPr>
        <w:pStyle w:val="Heading1"/>
      </w:pPr>
      <w:r>
        <w:t>Corrective actions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shd w:fill="0F766E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045"/>
            <w:shd w:fill="0F766E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045"/>
            <w:shd w:fill="0F766E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7"/>
              </w:rPr>
              <w:t>Due</w:t>
            </w:r>
          </w:p>
        </w:tc>
        <w:tc>
          <w:tcPr>
            <w:tcW w:type="dxa" w:w="2045"/>
            <w:shd w:fill="0F766E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2045"/>
            <w:shd w:fill="0F766E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7"/>
              </w:rPr>
              <w:t>Status</w:t>
            </w:r>
          </w:p>
        </w:tc>
      </w:tr>
      <w:tr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Set pool limits from measured regional concurrency with 30% headroom.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D. Okafor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2026-07-22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P0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Done</w:t>
            </w:r>
          </w:p>
        </w:tc>
      </w:tr>
      <w:tr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Add queue-depth and checkout-latency burn-rate alerts.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S. Rossi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2026-07-24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P0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In progress</w:t>
            </w:r>
          </w:p>
        </w:tc>
      </w:tr>
      <w:tr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Replace fixed retries with jittered exponential backoff.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T. Baxter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2026-07-29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P1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In progress</w:t>
            </w:r>
          </w:p>
        </w:tc>
      </w:tr>
      <w:tr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Add peak-concurrency profile to pre-production load tests.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A. Bello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2026-08-02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P1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Planned</w:t>
            </w:r>
          </w:p>
        </w:tc>
      </w:tr>
      <w:tr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Document rollback ownership in the service runbook.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P. Nair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2026-07-25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P2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Planned</w:t>
            </w:r>
          </w:p>
        </w:tc>
      </w:tr>
    </w:tbl>
    <w:p>
      <w:pPr>
        <w:spacing w:after="0"/>
      </w:pPr>
    </w:p>
    <w:p>
      <w:pPr>
        <w:pStyle w:val="Heading1"/>
      </w:pPr>
      <w:r>
        <w:t>What went well</w:t>
      </w:r>
    </w:p>
    <w:p>
      <w:pPr>
        <w:pStyle w:val="ListBullet"/>
      </w:pPr>
      <w:r>
        <w:t>Support reports were quickly correlated with telemetry.</w:t>
      </w:r>
    </w:p>
    <w:p>
      <w:pPr>
        <w:pStyle w:val="ListBullet"/>
      </w:pPr>
      <w:r>
        <w:t>The change was reversible and rollback completed in eight minutes.</w:t>
      </w:r>
    </w:p>
    <w:p>
      <w:pPr>
        <w:pStyle w:val="ListBullet"/>
      </w:pPr>
      <w:r>
        <w:t>Payment idempotency controls prevented duplicate authorisations.</w:t>
      </w:r>
    </w:p>
    <w:p>
      <w:r>
        <w:rPr>
          <w:i/>
          <w:color w:val="64748B"/>
          <w:sz w:val="16"/>
        </w:rPr>
        <w:t>Fictional operational sample. Adapt severity definitions, owners, and retention rules to your organisation.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4748B"/>
        <w:sz w:val="16"/>
      </w:rPr>
      <w:t>Novus Examples | Fictional sample | Free to adapt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0F766E"/>
        <w:sz w:val="16"/>
      </w:rPr>
      <w:t>Lumen Labs  |  EDITABLE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F766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F766E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Postmortem: Checkout Latency</dc:title>
  <dc:subject>Fictional editable document template</dc:subject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