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Client Onboarding Questionnaire</w:t>
      </w:r>
    </w:p>
    <w:p>
      <w:r>
        <w:rPr>
          <w:i/>
          <w:color w:val="475569"/>
        </w:rPr>
        <w:t>A completed discovery questionnaire for a fictional product-launch engagement.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/>
                <w:color w:val="7C3AED"/>
                <w:sz w:val="17"/>
              </w:rPr>
              <w:t>Client</w:t>
            </w:r>
          </w:p>
        </w:tc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Atlas &amp; Finch Homeware</w:t>
            </w:r>
          </w:p>
        </w:tc>
      </w:tr>
      <w:tr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/>
                <w:color w:val="7C3AED"/>
                <w:sz w:val="17"/>
              </w:rPr>
              <w:t>Primary contact</w:t>
            </w:r>
          </w:p>
        </w:tc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Morgan Lee - morgan.lee@atlasfinch.example</w:t>
            </w:r>
          </w:p>
        </w:tc>
      </w:tr>
      <w:tr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/>
                <w:color w:val="7C3AED"/>
                <w:sz w:val="17"/>
              </w:rPr>
              <w:t>Studio lead</w:t>
            </w:r>
          </w:p>
        </w:tc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Avery Chen - avery@northwind.example</w:t>
            </w:r>
          </w:p>
        </w:tc>
      </w:tr>
      <w:tr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/>
                <w:color w:val="7C3AED"/>
                <w:sz w:val="17"/>
              </w:rPr>
              <w:t>Target launch</w:t>
            </w:r>
          </w:p>
        </w:tc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2026-10-19</w:t>
            </w:r>
          </w:p>
        </w:tc>
      </w:tr>
      <w:tr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/>
                <w:color w:val="7C3AED"/>
                <w:sz w:val="17"/>
              </w:rPr>
              <w:t>Engagement</w:t>
            </w:r>
          </w:p>
        </w:tc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E-commerce discovery and launch campaign</w:t>
            </w:r>
          </w:p>
        </w:tc>
      </w:tr>
    </w:tbl>
    <w:p>
      <w:pPr>
        <w:pStyle w:val="Heading1"/>
      </w:pPr>
      <w:r>
        <w:t>1. Business context</w:t>
      </w:r>
    </w:p>
    <w:p>
      <w:r>
        <w:rPr>
          <w:b/>
        </w:rPr>
        <w:t xml:space="preserve">What outcome should this engagement create?: </w:t>
      </w:r>
      <w:r>
        <w:t>Increase qualified product-page visits and give the internal team a reusable launch system for the autumn collection.</w:t>
      </w:r>
    </w:p>
    <w:p>
      <w:r>
        <w:rPr>
          <w:b/>
        </w:rPr>
        <w:t xml:space="preserve">How will success be measured?: </w:t>
      </w:r>
      <w:r>
        <w:t>A 20% lift in collection-page engagement, 1,200 email sign-ups, and complete delivery of the reusable campaign toolkit.</w:t>
      </w:r>
    </w:p>
    <w:p>
      <w:r>
        <w:rPr>
          <w:b/>
        </w:rPr>
        <w:t xml:space="preserve">What is the main constraint?: </w:t>
      </w:r>
      <w:r>
        <w:t>Photography is scheduled for 2026-09-08, so layouts must work with temporary product imagery until final selects arrive.</w:t>
      </w:r>
    </w:p>
    <w:p>
      <w:pPr>
        <w:pStyle w:val="Heading1"/>
      </w:pPr>
      <w:r>
        <w:t>2. Audience and positioning</w:t>
      </w:r>
    </w:p>
    <w:p>
      <w:r>
        <w:rPr>
          <w:b/>
        </w:rPr>
        <w:t xml:space="preserve">Primary audience: </w:t>
      </w:r>
      <w:r>
        <w:t>Urban renters aged 28-45 who want durable, compact homeware without a luxury price.</w:t>
      </w:r>
    </w:p>
    <w:p>
      <w:r>
        <w:rPr>
          <w:b/>
        </w:rPr>
        <w:t xml:space="preserve">Core promise: </w:t>
      </w:r>
      <w:r>
        <w:t>Thoughtful everyday objects that fit smaller spaces and stand up to daily use.</w:t>
      </w:r>
    </w:p>
    <w:p>
      <w:r>
        <w:rPr>
          <w:b/>
        </w:rPr>
        <w:t xml:space="preserve">Proof points: </w:t>
      </w:r>
      <w:r>
        <w:t>Five-year repair programme, FSC-certified packaging, modular sizing, and transparent material notes.</w:t>
      </w:r>
    </w:p>
    <w:p>
      <w:r>
        <w:rPr>
          <w:b/>
        </w:rPr>
        <w:t xml:space="preserve">Avoid: </w:t>
      </w:r>
      <w:r>
        <w:t>Unverifiable sustainability claims, urgency-only copy, and imagery that makes products appear larger than their listed dimensions.</w:t>
      </w:r>
    </w:p>
    <w:p>
      <w:pPr>
        <w:pStyle w:val="Heading1"/>
      </w:pPr>
      <w:r>
        <w:t>3. Scope and deliverables</w:t>
      </w:r>
    </w:p>
    <w:p>
      <w:pPr>
        <w:pStyle w:val="ListBullet"/>
      </w:pPr>
      <w:r>
        <w:t>Campaign concept and message hierarchy</w:t>
      </w:r>
    </w:p>
    <w:p>
      <w:pPr>
        <w:pStyle w:val="ListBullet"/>
      </w:pPr>
      <w:r>
        <w:t>Collection landing-page wireframe and final copy</w:t>
      </w:r>
    </w:p>
    <w:p>
      <w:pPr>
        <w:pStyle w:val="ListBullet"/>
      </w:pPr>
      <w:r>
        <w:t>Six paid-social concepts in two aspect ratios</w:t>
      </w:r>
    </w:p>
    <w:p>
      <w:pPr>
        <w:pStyle w:val="ListBullet"/>
      </w:pPr>
      <w:r>
        <w:t>Three-email launch sequence with subject-line variants</w:t>
      </w:r>
    </w:p>
    <w:p>
      <w:pPr>
        <w:pStyle w:val="ListBullet"/>
      </w:pPr>
      <w:r>
        <w:t>Handoff guide with naming, accessibility, and measurement notes</w:t>
      </w:r>
    </w:p>
    <w:p>
      <w:pPr>
        <w:pStyle w:val="Heading1"/>
      </w:pPr>
      <w:r>
        <w:t>4. Working agreement</w:t>
      </w:r>
    </w:p>
    <w:p>
      <w:r>
        <w:rPr>
          <w:b/>
        </w:rPr>
        <w:t xml:space="preserve">Decision owner: </w:t>
      </w:r>
      <w:r>
        <w:t>Morgan Lee, Head of E-commerce</w:t>
      </w:r>
    </w:p>
    <w:p>
      <w:r>
        <w:rPr>
          <w:b/>
        </w:rPr>
        <w:t xml:space="preserve">Feedback cadence: </w:t>
      </w:r>
      <w:r>
        <w:t>One consolidated review every Tuesday and Thursday by 15:00 ET.</w:t>
      </w:r>
    </w:p>
    <w:p>
      <w:r>
        <w:rPr>
          <w:b/>
        </w:rPr>
        <w:t xml:space="preserve">Communication: </w:t>
      </w:r>
      <w:r>
        <w:t>Project board for decisions; email for approvals; video call only for kickoff and final review.</w:t>
      </w:r>
    </w:p>
    <w:p>
      <w:r>
        <w:rPr>
          <w:b/>
        </w:rPr>
        <w:t xml:space="preserve">Accessibility baseline: </w:t>
      </w:r>
      <w:r>
        <w:t>WCAG 2.2 AA for colour, focus, structure, motion, and alternative text.</w:t>
      </w:r>
    </w:p>
    <w:p>
      <w:pPr>
        <w:pStyle w:val="Heading1"/>
      </w:pPr>
      <w:r>
        <w:t>5. Kickoff checklist</w:t>
      </w:r>
    </w:p>
    <w:p>
      <w:r>
        <w:t>[ ] Contract and deposit confirmed</w:t>
      </w:r>
    </w:p>
    <w:p>
      <w:r>
        <w:t>[ ] Brand guidelines and font licences shared</w:t>
      </w:r>
    </w:p>
    <w:p>
      <w:r>
        <w:t>[ ] Analytics read-only access granted</w:t>
      </w:r>
    </w:p>
    <w:p>
      <w:r>
        <w:t>[ ] Photography folder and SKU list linked</w:t>
      </w:r>
    </w:p>
    <w:p>
      <w:r>
        <w:t>[ ] Legal reviewer and final approver named</w:t>
      </w:r>
    </w:p>
    <w:p>
      <w:r>
        <w:rPr>
          <w:i/>
          <w:color w:val="64748B"/>
          <w:sz w:val="16"/>
        </w:rPr>
        <w:t>Fictional completed sample. Replace the answers before using this questionnaire with a client.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64748B"/>
        <w:sz w:val="16"/>
      </w:rPr>
      <w:t>Novus Examples | Fictional sample | Free to adapt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7C3AED"/>
        <w:sz w:val="16"/>
      </w:rPr>
      <w:t>Northwind Studio  |  EDITABLE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7C3AED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7C3AED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 Onboarding Questionnaire</dc:title>
  <dc:subject>Fictional editable document template</dc:subject>
  <dc:creator>Novus Examples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2026-01-01T00:00:00Z</dcterms:modified>
  <cp:category/>
</cp:coreProperties>
</file>