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Campaign Content Brief: Field Notes</w:t>
      </w:r>
    </w:p>
    <w:p>
      <w:r>
        <w:rPr>
          <w:i/>
          <w:color w:val="475569"/>
        </w:rPr>
        <w:t>A channel-ready brief connecting one campaign objective to audience insight, messages, assets, and approvals.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C2410C"/>
                <w:sz w:val="17"/>
              </w:rPr>
              <w:t>Campaign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Field Notes - autumn collection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C2410C"/>
                <w:sz w:val="17"/>
              </w:rPr>
              <w:t>Client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Atlas &amp; Finch Homeware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C2410C"/>
                <w:sz w:val="17"/>
              </w:rPr>
              <w:t>Campaign owner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Morgan Lee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C2410C"/>
                <w:sz w:val="17"/>
              </w:rPr>
              <w:t>Creative lead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Avery Chen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C2410C"/>
                <w:sz w:val="17"/>
              </w:rPr>
              <w:t>Flight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2026-10-05 to 2026-11-01</w:t>
            </w:r>
          </w:p>
        </w:tc>
      </w:tr>
      <w:tr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/>
                <w:color w:val="C2410C"/>
                <w:sz w:val="17"/>
              </w:rPr>
              <w:t>Budget</w:t>
            </w:r>
          </w:p>
        </w:tc>
        <w:tc>
          <w:tcPr>
            <w:tcW w:type="dxa" w:w="5112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USD 42,000 paid media; production approved separately</w:t>
            </w:r>
          </w:p>
        </w:tc>
      </w:tr>
    </w:tbl>
    <w:p>
      <w:pPr>
        <w:pStyle w:val="Heading1"/>
      </w:pPr>
      <w:r>
        <w:t>Objective and success measures</w:t>
      </w:r>
    </w:p>
    <w:p>
      <w:r>
        <w:t>Introduce the autumn modular-storage collection and convert high-intent visitors into collection-page sessions and email subscribers.</w:t>
      </w:r>
    </w:p>
    <w:p>
      <w:pPr>
        <w:pStyle w:val="ListBullet"/>
      </w:pPr>
      <w:r>
        <w:t>12,000 qualified collection-page sessions</w:t>
      </w:r>
    </w:p>
    <w:p>
      <w:pPr>
        <w:pStyle w:val="ListBullet"/>
      </w:pPr>
      <w:r>
        <w:t>1,200 new email subscribers at or below USD 3.50 each</w:t>
      </w:r>
    </w:p>
    <w:p>
      <w:pPr>
        <w:pStyle w:val="ListBullet"/>
      </w:pPr>
      <w:r>
        <w:t>Paid-social click-through rate of at least 1.4%</w:t>
      </w:r>
    </w:p>
    <w:p>
      <w:pPr>
        <w:pStyle w:val="ListBullet"/>
      </w:pPr>
      <w:r>
        <w:t>At least 80% of delivered assets accepted on first review</w:t>
      </w:r>
    </w:p>
    <w:p>
      <w:pPr>
        <w:pStyle w:val="Heading1"/>
      </w:pPr>
      <w:r>
        <w:t>Audience insight</w:t>
      </w:r>
    </w:p>
    <w:p>
      <w:r>
        <w:rPr>
          <w:b/>
        </w:rPr>
        <w:t xml:space="preserve">Audience: </w:t>
      </w:r>
      <w:r>
        <w:t>Design-aware renters and first-time homeowners furnishing compact spaces.</w:t>
      </w:r>
    </w:p>
    <w:p>
      <w:r>
        <w:rPr>
          <w:b/>
        </w:rPr>
        <w:t xml:space="preserve">Tension: </w:t>
      </w:r>
      <w:r>
        <w:t>They want calm, durable rooms but expect storage products to look bulky or temporary.</w:t>
      </w:r>
    </w:p>
    <w:p>
      <w:r>
        <w:rPr>
          <w:b/>
        </w:rPr>
        <w:t xml:space="preserve">Desired response: </w:t>
      </w:r>
      <w:r>
        <w:t>This collection was designed around the space I actually have.</w:t>
      </w:r>
    </w:p>
    <w:p>
      <w:pPr>
        <w:pStyle w:val="Heading1"/>
      </w:pPr>
      <w:r>
        <w:t>Message hierarchy</w:t>
      </w:r>
    </w:p>
    <w:p>
      <w:pPr>
        <w:pStyle w:val="ListBullet"/>
      </w:pPr>
      <w:r>
        <w:t>Lead: Make more room without making the room about storage.</w:t>
      </w:r>
    </w:p>
    <w:p>
      <w:pPr>
        <w:pStyle w:val="ListBullet"/>
      </w:pPr>
      <w:r>
        <w:t>Support: Modular widths combine cleanly across awkward walls and changing homes.</w:t>
      </w:r>
    </w:p>
    <w:p>
      <w:pPr>
        <w:pStyle w:val="ListBullet"/>
      </w:pPr>
      <w:r>
        <w:t>Proof: Solid ash fronts, replaceable fittings, measured diagrams, and a five-year repair programme.</w:t>
      </w:r>
    </w:p>
    <w:p>
      <w:pPr>
        <w:pStyle w:val="ListBullet"/>
      </w:pPr>
      <w:r>
        <w:t>CTA: Plan your wall.</w:t>
      </w:r>
    </w:p>
    <w:p>
      <w:pPr>
        <w:pStyle w:val="Heading1"/>
      </w:pPr>
      <w:r>
        <w:t>Deliverables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C2410C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Channel</w:t>
            </w:r>
          </w:p>
        </w:tc>
        <w:tc>
          <w:tcPr>
            <w:tcW w:type="dxa" w:w="2045"/>
            <w:shd w:fill="C2410C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Asset</w:t>
            </w:r>
          </w:p>
        </w:tc>
        <w:tc>
          <w:tcPr>
            <w:tcW w:type="dxa" w:w="2045"/>
            <w:shd w:fill="C2410C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Variants</w:t>
            </w:r>
          </w:p>
        </w:tc>
        <w:tc>
          <w:tcPr>
            <w:tcW w:type="dxa" w:w="2045"/>
            <w:shd w:fill="C2410C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45"/>
            <w:shd w:fill="C2410C"/>
          </w:tcPr>
          <w:p>
            <w:pPr>
              <w:spacing w:after="0"/>
            </w:pPr>
            <w:r>
              <w:rPr>
                <w:rFonts w:ascii="Aptos" w:hAnsi="Aptos"/>
                <w:b/>
                <w:color w:val="FFFFFF"/>
                <w:sz w:val="17"/>
              </w:rPr>
              <w:t>Due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Landing page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Hero, comparison module, FAQ copy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Desktop + mobile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Avery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2026-09-18</w:t>
            </w:r>
          </w:p>
        </w:tc>
      </w:tr>
      <w:tr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Paid social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Static concept set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6 concepts x 2 ratios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Imani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2026-09-21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Paid social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15-second motion cut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3 hooks x 2 ratios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Leo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2026-09-24</w:t>
            </w:r>
          </w:p>
        </w:tc>
      </w:tr>
      <w:tr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Email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Launch sequence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3 sends x 2 subjects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Nora</w:t>
            </w:r>
          </w:p>
        </w:tc>
        <w:tc>
          <w:tcPr>
            <w:tcW w:type="dxa" w:w="2045"/>
            <w:shd w:fill="F1F5F9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2026-09-25</w:t>
            </w:r>
          </w:p>
        </w:tc>
      </w:tr>
      <w:tr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Organic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Product education carousel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4 carousels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Imani</w:t>
            </w:r>
          </w:p>
        </w:tc>
        <w:tc>
          <w:tcPr>
            <w:tcW w:type="dxa" w:w="2045"/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7"/>
              </w:rPr>
              <w:t>2026-09-28</w:t>
            </w:r>
          </w:p>
        </w:tc>
      </w:tr>
    </w:tbl>
    <w:p>
      <w:pPr>
        <w:spacing w:after="0"/>
      </w:pPr>
    </w:p>
    <w:p>
      <w:pPr>
        <w:pStyle w:val="Heading1"/>
      </w:pPr>
      <w:r>
        <w:t>Creative guardrails</w:t>
      </w:r>
    </w:p>
    <w:p>
      <w:pPr>
        <w:pStyle w:val="ListBullet"/>
      </w:pPr>
      <w:r>
        <w:t>Show real scale with dimensions or familiar objects in frame.</w:t>
      </w:r>
    </w:p>
    <w:p>
      <w:pPr>
        <w:pStyle w:val="ListBullet"/>
      </w:pPr>
      <w:r>
        <w:t>Use warm daylight, quiet backgrounds, and occupied rooms rather than empty sets.</w:t>
      </w:r>
    </w:p>
    <w:p>
      <w:pPr>
        <w:pStyle w:val="ListBullet"/>
      </w:pPr>
      <w:r>
        <w:t>Never imply that every configuration fits every wall; link to measured diagrams.</w:t>
      </w:r>
    </w:p>
    <w:p>
      <w:pPr>
        <w:pStyle w:val="ListBullet"/>
      </w:pPr>
      <w:r>
        <w:t>Provide descriptive alternative text and caption all motion assets.</w:t>
      </w:r>
    </w:p>
    <w:p>
      <w:pPr>
        <w:pStyle w:val="ListBullet"/>
      </w:pPr>
      <w:r>
        <w:t>Avoid unsupported environmental superlatives and countdown-style pressure.</w:t>
      </w:r>
    </w:p>
    <w:p>
      <w:pPr>
        <w:pStyle w:val="Heading1"/>
      </w:pPr>
      <w:r>
        <w:t>Workflow and approvals</w:t>
      </w:r>
    </w:p>
    <w:p>
      <w:r>
        <w:rPr>
          <w:b/>
        </w:rPr>
        <w:t xml:space="preserve">Review rounds: </w:t>
      </w:r>
      <w:r>
        <w:t>Two consolidated rounds in the project board.</w:t>
      </w:r>
    </w:p>
    <w:p>
      <w:r>
        <w:rPr>
          <w:b/>
        </w:rPr>
        <w:t xml:space="preserve">Final approval: </w:t>
      </w:r>
      <w:r>
        <w:t>Morgan Lee for commercial claims; Priya Shah for legal and sustainability copy.</w:t>
      </w:r>
    </w:p>
    <w:p>
      <w:r>
        <w:rPr>
          <w:b/>
        </w:rPr>
        <w:t xml:space="preserve">Measurement: </w:t>
      </w:r>
      <w:r>
        <w:t>UTM naming follows field-notes / channel / creative-id; dashboard owner is Sam Ortiz.</w:t>
      </w:r>
    </w:p>
    <w:p>
      <w:r>
        <w:rPr>
          <w:i/>
          <w:color w:val="64748B"/>
          <w:sz w:val="16"/>
        </w:rPr>
        <w:t>Fictional campaign sample. Confirm claims, rights, accessibility, and channel specifications before publishing.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4748B"/>
        <w:sz w:val="16"/>
      </w:rPr>
      <w:t>Novus Examples | Fictional sample | Free to adapt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C2410C"/>
        <w:sz w:val="16"/>
      </w:rPr>
      <w:t>Northwind Studio  |  EDITABLE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C2410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C2410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Campaign Content Brief: Field Notes</dc:title>
  <dc:subject>Fictional editable document template</dc:subject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