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Meeting Notes — Q2 Ops Sync (SAMPLE)</w:t>
      </w:r>
    </w:p>
    <w:p>
      <w:r>
        <w:t>Date: 2026-04-08 · 10:00–10:45 PT · Video</w:t>
      </w:r>
    </w:p>
    <w:p>
      <w:pPr>
        <w:pStyle w:val="Heading1"/>
      </w:pPr>
      <w:r>
        <w:t>Attendees</w:t>
      </w:r>
    </w:p>
    <w:p>
      <w:r>
        <w:t>Jordan Rivera, Casey Ng, Avery Brooks (SAMPLE names)</w:t>
      </w:r>
    </w:p>
    <w:p>
      <w:pPr>
        <w:pStyle w:val="Heading1"/>
      </w:pPr>
      <w:r>
        <w:t>Agenda</w:t>
      </w:r>
    </w:p>
    <w:p>
      <w:pPr>
        <w:pStyle w:val="ListNumber"/>
      </w:pPr>
      <w:r>
        <w:t>Catalogue refresh timeline</w:t>
      </w:r>
    </w:p>
    <w:p>
      <w:pPr>
        <w:pStyle w:val="ListNumber"/>
      </w:pPr>
      <w:r>
        <w:t>Showroom soft-open checklist</w:t>
      </w:r>
    </w:p>
    <w:p>
      <w:pPr>
        <w:pStyle w:val="ListNumber"/>
      </w:pPr>
      <w:r>
        <w:t>Open action items</w:t>
      </w:r>
    </w:p>
    <w:p>
      <w:pPr>
        <w:pStyle w:val="Heading1"/>
      </w:pPr>
      <w:r>
        <w:t>Decisions</w:t>
      </w:r>
    </w:p>
    <w:p>
      <w:r>
        <w:t>Proceed with SAMPLE April 22 soft-open; freeze shot list by April 15.</w:t>
      </w:r>
    </w:p>
    <w:p>
      <w:pPr>
        <w:pStyle w:val="Heading1"/>
      </w:pPr>
      <w:r>
        <w:t>Action items</w:t>
      </w:r>
    </w:p>
    <w:p>
      <w:pPr>
        <w:pStyle w:val="ListBullet"/>
      </w:pPr>
      <w:r>
        <w:t>[ ] Jordan — publish shot list CSV — due 2026-04-15</w:t>
      </w:r>
    </w:p>
    <w:p>
      <w:pPr>
        <w:pStyle w:val="ListBullet"/>
      </w:pPr>
      <w:r>
        <w:t>[ ] Casey — vendor confirm freight SAMPLE quote — due 2026-04-12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