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Service Level Agreement (SAMPLE)</w:t>
      </w:r>
    </w:p>
    <w:p>
      <w:r>
        <w:rPr>
          <w:i/>
          <w:sz w:val="20"/>
        </w:rPr>
        <w:t>Fictional SAMPLE — not legal advice.</w:t>
      </w:r>
    </w:p>
    <w:p>
      <w:r>
        <w:t>1. Uptime. SAMPLE target 99.5% monthly excluding planned maintenance.</w:t>
      </w:r>
    </w:p>
    <w:p>
      <w:r>
        <w:t>2. Support. SAMPLE business-hours response within one business day.</w:t>
      </w:r>
    </w:p>
    <w:p>
      <w:r>
        <w:t>3. Credits. Service credits are SAMPLE-only and not cash refunds.</w:t>
      </w:r>
    </w:p>
    <w:p>
      <w:r>
        <w:t>4. Exclusions. Force majeure and customer-caused outages excluded.</w:t>
      </w:r>
    </w:p>
    <w:p>
      <w:r>
        <w:t>Party A: ____________    Party B: 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Novus Examples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2026-01-01T00:00:00Z</dcterms:modified>
  <cp:category/>
</cp:coreProperties>
</file>