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Policy Schedule POL-2026-GL-0001</w:t>
      </w:r>
    </w:p>
    <w:p>
      <w:r>
        <w:rPr>
          <w:i/>
          <w:sz w:val="18"/>
        </w:rPr>
        <w:t>Fictional Mutual Insurance, fictional policy schedule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Policy number</w:t>
            </w:r>
          </w:p>
        </w:tc>
        <w:tc>
          <w:tcPr>
            <w:tcW w:type="dxa" w:w="4320"/>
          </w:tcPr>
          <w:p>
            <w:r>
              <w:t>POL-2026-GL-0001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Insurer</w:t>
            </w:r>
          </w:p>
        </w:tc>
        <w:tc>
          <w:tcPr>
            <w:tcW w:type="dxa" w:w="4320"/>
          </w:tcPr>
          <w:p>
            <w:r>
              <w:t>Fictional Mutual Insurance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Broker</w:t>
            </w:r>
          </w:p>
        </w:tc>
        <w:tc>
          <w:tcPr>
            <w:tcW w:type="dxa" w:w="4320"/>
          </w:tcPr>
          <w:p>
            <w:r>
              <w:t>Sample Broking Partners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Named insured</w:t>
            </w:r>
          </w:p>
        </w:tc>
        <w:tc>
          <w:tcPr>
            <w:tcW w:type="dxa" w:w="4320"/>
          </w:tcPr>
          <w:p>
            <w:r>
              <w:t>Pine Property Services, Suite 2, Pine Property Services Building, 12 Example Way, Sample City, ZZ2 2ZZ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Policy period</w:t>
            </w:r>
          </w:p>
        </w:tc>
        <w:tc>
          <w:tcPr>
            <w:tcW w:type="dxa" w:w="4320"/>
          </w:tcPr>
          <w:p>
            <w:r>
              <w:t>1 April 2026 to 31 March 2027, 365 days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Scheduled locations</w:t>
            </w:r>
          </w:p>
        </w:tc>
        <w:tc>
          <w:tcPr>
            <w:tcW w:type="dxa" w:w="4320"/>
          </w:tcPr>
          <w:p>
            <w:r>
              <w:t>6 properties, total insured value 2,700,000.00 USD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Scheduled vehicles</w:t>
            </w:r>
          </w:p>
        </w:tc>
        <w:tc>
          <w:tcPr>
            <w:tcW w:type="dxa" w:w="4320"/>
          </w:tcPr>
          <w:p>
            <w:r>
              <w:t>4 vehicles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Deductible</w:t>
            </w:r>
          </w:p>
        </w:tc>
        <w:tc>
          <w:tcPr>
            <w:tcW w:type="dxa" w:w="4320"/>
          </w:tcPr>
          <w:p>
            <w:r>
              <w:t>1,000.00 USD each claim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Total payable</w:t>
            </w:r>
          </w:p>
        </w:tc>
        <w:tc>
          <w:tcPr>
            <w:tcW w:type="dxa" w:w="4320"/>
          </w:tcPr>
          <w:p>
            <w:r>
              <w:t>8,016.08 USD</w:t>
            </w:r>
          </w:p>
        </w:tc>
      </w:tr>
    </w:tbl>
    <w:p/>
    <w:p>
      <w:r>
        <w:rPr>
          <w:sz w:val="16"/>
        </w:rPr>
        <w:t>Fictional insurance paperwork generated for file-parsing tests. No policy exists, no cover is provided, and the insurer, broker and claim references are invented.</w:t>
      </w:r>
    </w:p>
    <w:p>
      <w:pPr>
        <w:pStyle w:val="Heading2"/>
      </w:pPr>
      <w:r>
        <w:t>Coverages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Coverage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Limit or basis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Rate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Deductible USD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Premium USD</w:t>
            </w:r>
          </w:p>
        </w:tc>
      </w:tr>
      <w:tr>
        <w:tc>
          <w:tcPr>
            <w:tcW w:type="dxa" w:w="1728"/>
          </w:tcPr>
          <w:p>
            <w:r>
              <w:t>Commercial general liability</w:t>
            </w:r>
          </w:p>
        </w:tc>
        <w:tc>
          <w:tcPr>
            <w:tcW w:type="dxa" w:w="1728"/>
          </w:tcPr>
          <w:p>
            <w:r>
              <w:t>1,000,000.00 each occurrence</w:t>
            </w:r>
          </w:p>
        </w:tc>
        <w:tc>
          <w:tcPr>
            <w:tcW w:type="dxa" w:w="1728"/>
          </w:tcPr>
          <w:p>
            <w:r>
              <w:t>2,000,000.00 aggregate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1850.00</w:t>
            </w:r>
          </w:p>
        </w:tc>
      </w:tr>
      <w:tr>
        <w:tc>
          <w:tcPr>
            <w:tcW w:type="dxa" w:w="1728"/>
          </w:tcPr>
          <w:p>
            <w:r>
              <w:t>Property, scheduled locations</w:t>
            </w:r>
          </w:p>
        </w:tc>
        <w:tc>
          <w:tcPr>
            <w:tcW w:type="dxa" w:w="1728"/>
          </w:tcPr>
          <w:p>
            <w:r>
              <w:t>2,700,000.00 total insured value</w:t>
            </w:r>
          </w:p>
        </w:tc>
        <w:tc>
          <w:tcPr>
            <w:tcW w:type="dxa" w:w="1728"/>
          </w:tcPr>
          <w:p>
            <w:r>
              <w:t>0.85 per 1000 of value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2295.00</w:t>
            </w:r>
          </w:p>
        </w:tc>
      </w:tr>
      <w:tr>
        <w:tc>
          <w:tcPr>
            <w:tcW w:type="dxa" w:w="1728"/>
          </w:tcPr>
          <w:p>
            <w:r>
              <w:t>Commercial auto, scheduled vehicles</w:t>
            </w:r>
          </w:p>
        </w:tc>
        <w:tc>
          <w:tcPr>
            <w:tcW w:type="dxa" w:w="1728"/>
          </w:tcPr>
          <w:p>
            <w:r>
              <w:t>4 vehicles</w:t>
            </w:r>
          </w:p>
        </w:tc>
        <w:tc>
          <w:tcPr>
            <w:tcW w:type="dxa" w:w="1728"/>
          </w:tcPr>
          <w:p>
            <w:r>
              <w:t>620.00 each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2480.00</w:t>
            </w:r>
          </w:p>
        </w:tc>
      </w:tr>
      <w:tr>
        <w:tc>
          <w:tcPr>
            <w:tcW w:type="dxa" w:w="1728"/>
          </w:tcPr>
          <w:p>
            <w:r>
              <w:t>Tools and equipment</w:t>
            </w:r>
          </w:p>
        </w:tc>
        <w:tc>
          <w:tcPr>
            <w:tcW w:type="dxa" w:w="1728"/>
          </w:tcPr>
          <w:p>
            <w:r>
              <w:t>25,000.00 as amended by E03</w:t>
            </w:r>
          </w:p>
        </w:tc>
        <w:tc>
          <w:tcPr>
            <w:tcW w:type="dxa" w:w="1728"/>
          </w:tcPr>
          <w:p>
            <w:r>
              <w:t>n/a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415.00</w:t>
            </w:r>
          </w:p>
        </w:tc>
      </w:tr>
      <w:tr>
        <w:tc>
          <w:tcPr>
            <w:tcW w:type="dxa" w:w="1728"/>
          </w:tcPr>
          <w:p>
            <w:r>
              <w:t>Base premium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pPr>
              <w:jc w:val="right"/>
            </w:pPr>
            <w:r/>
          </w:p>
        </w:tc>
        <w:tc>
          <w:tcPr>
            <w:tcW w:type="dxa" w:w="1728"/>
          </w:tcPr>
          <w:p>
            <w:pPr>
              <w:jc w:val="right"/>
            </w:pPr>
            <w:r>
              <w:t>7040.00</w:t>
            </w:r>
          </w:p>
        </w:tc>
      </w:tr>
    </w:tbl>
    <w:p/>
    <w:p>
      <w:pPr>
        <w:pStyle w:val="Heading2"/>
      </w:pPr>
      <w:r>
        <w:t>Endorsements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Code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Endorsement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Effective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Premium USD</w:t>
            </w:r>
          </w:p>
        </w:tc>
        <w:tc>
          <w:tcPr>
            <w:tcW w:type="dxa" w:w="1728"/>
          </w:tcPr>
          <w:p>
            <w:r>
              <w:rPr>
                <w:b/>
              </w:rPr>
              <w:t>Effect</w:t>
            </w:r>
          </w:p>
        </w:tc>
      </w:tr>
      <w:tr>
        <w:tc>
          <w:tcPr>
            <w:tcW w:type="dxa" w:w="1728"/>
          </w:tcPr>
          <w:p>
            <w:r>
              <w:t>E01</w:t>
            </w:r>
          </w:p>
        </w:tc>
        <w:tc>
          <w:tcPr>
            <w:tcW w:type="dxa" w:w="1728"/>
          </w:tcPr>
          <w:p>
            <w:r>
              <w:t>CG-2010 style additional insured, property manager</w:t>
            </w:r>
          </w:p>
        </w:tc>
        <w:tc>
          <w:tcPr>
            <w:tcW w:type="dxa" w:w="1728"/>
          </w:tcPr>
          <w:p>
            <w:r>
              <w:t>2026-04-01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125.00</w:t>
            </w:r>
          </w:p>
        </w:tc>
        <w:tc>
          <w:tcPr>
            <w:tcW w:type="dxa" w:w="1728"/>
          </w:tcPr>
          <w:p>
            <w:r>
              <w:t>Names the property manager of each scheduled location as additional insured.</w:t>
            </w:r>
          </w:p>
        </w:tc>
      </w:tr>
      <w:tr>
        <w:tc>
          <w:tcPr>
            <w:tcW w:type="dxa" w:w="1728"/>
          </w:tcPr>
          <w:p>
            <w:r>
              <w:t>E02</w:t>
            </w:r>
          </w:p>
        </w:tc>
        <w:tc>
          <w:tcPr>
            <w:tcW w:type="dxa" w:w="1728"/>
          </w:tcPr>
          <w:p>
            <w:r>
              <w:t>Waiver of subrogation</w:t>
            </w:r>
          </w:p>
        </w:tc>
        <w:tc>
          <w:tcPr>
            <w:tcW w:type="dxa" w:w="1728"/>
          </w:tcPr>
          <w:p>
            <w:r>
              <w:t>2026-04-01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75.00</w:t>
            </w:r>
          </w:p>
        </w:tc>
        <w:tc>
          <w:tcPr>
            <w:tcW w:type="dxa" w:w="1728"/>
          </w:tcPr>
          <w:p>
            <w:r>
              <w:t>Waives the insurer right of recovery against a scheduled additional insured.</w:t>
            </w:r>
          </w:p>
        </w:tc>
      </w:tr>
      <w:tr>
        <w:tc>
          <w:tcPr>
            <w:tcW w:type="dxa" w:w="1728"/>
          </w:tcPr>
          <w:p>
            <w:r>
              <w:t>E03</w:t>
            </w:r>
          </w:p>
        </w:tc>
        <w:tc>
          <w:tcPr>
            <w:tcW w:type="dxa" w:w="1728"/>
          </w:tcPr>
          <w:p>
            <w:r>
              <w:t>Increased tools and equipment limit</w:t>
            </w:r>
          </w:p>
        </w:tc>
        <w:tc>
          <w:tcPr>
            <w:tcW w:type="dxa" w:w="1728"/>
          </w:tcPr>
          <w:p>
            <w:r>
              <w:t>2026-06-01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210.00</w:t>
            </w:r>
          </w:p>
        </w:tc>
        <w:tc>
          <w:tcPr>
            <w:tcW w:type="dxa" w:w="1728"/>
          </w:tcPr>
          <w:p>
            <w:r>
              <w:t>Raises the tools and equipment limit from 15000.00 to 25000.00 USD.</w:t>
            </w:r>
          </w:p>
        </w:tc>
      </w:tr>
      <w:tr>
        <w:tc>
          <w:tcPr>
            <w:tcW w:type="dxa" w:w="1728"/>
          </w:tcPr>
          <w:p>
            <w:r>
              <w:t>E04</w:t>
            </w:r>
          </w:p>
        </w:tc>
        <w:tc>
          <w:tcPr>
            <w:tcW w:type="dxa" w:w="1728"/>
          </w:tcPr>
          <w:p>
            <w:r>
              <w:t>Hired and non-owned auto</w:t>
            </w:r>
          </w:p>
        </w:tc>
        <w:tc>
          <w:tcPr>
            <w:tcW w:type="dxa" w:w="1728"/>
          </w:tcPr>
          <w:p>
            <w:r>
              <w:t>2026-07-01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180.00</w:t>
            </w:r>
          </w:p>
        </w:tc>
        <w:tc>
          <w:tcPr>
            <w:tcW w:type="dxa" w:w="1728"/>
          </w:tcPr>
          <w:p>
            <w:r>
              <w:t>Extends liability cover to vehicles hired or used but not owned.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Endorsement premium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pPr>
              <w:jc w:val="right"/>
            </w:pPr>
            <w:r>
              <w:t>590.00</w:t>
            </w:r>
          </w:p>
        </w:tc>
        <w:tc>
          <w:tcPr>
            <w:tcW w:type="dxa" w:w="1728"/>
          </w:tcPr>
          <w:p>
            <w:r/>
          </w:p>
        </w:tc>
      </w:tr>
    </w:tbl>
    <w:p/>
    <w:p>
      <w:pPr>
        <w:pStyle w:val="Heading2"/>
      </w:pPr>
      <w:r>
        <w:t>Premium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Component</w:t>
            </w:r>
          </w:p>
        </w:tc>
        <w:tc>
          <w:tcPr>
            <w:tcW w:type="dxa" w:w="4320"/>
          </w:tcPr>
          <w:p>
            <w:r>
              <w:rPr>
                <w:b/>
              </w:rPr>
              <w:t>Amount USD</w:t>
            </w:r>
          </w:p>
        </w:tc>
      </w:tr>
      <w:tr>
        <w:tc>
          <w:tcPr>
            <w:tcW w:type="dxa" w:w="4320"/>
          </w:tcPr>
          <w:p>
            <w:r>
              <w:t>Base premium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7040.00</w:t>
            </w:r>
          </w:p>
        </w:tc>
      </w:tr>
      <w:tr>
        <w:tc>
          <w:tcPr>
            <w:tcW w:type="dxa" w:w="4320"/>
          </w:tcPr>
          <w:p>
            <w:r>
              <w:t>Endorsement premium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590.00</w:t>
            </w:r>
          </w:p>
        </w:tc>
      </w:tr>
      <w:tr>
        <w:tc>
          <w:tcPr>
            <w:tcW w:type="dxa" w:w="4320"/>
          </w:tcPr>
          <w:p>
            <w:r>
              <w:t>Subtotal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7630.00</w:t>
            </w:r>
          </w:p>
        </w:tc>
      </w:tr>
      <w:tr>
        <w:tc>
          <w:tcPr>
            <w:tcW w:type="dxa" w:w="4320"/>
          </w:tcPr>
          <w:p>
            <w:r>
              <w:t>Policy fee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75.00</w:t>
            </w:r>
          </w:p>
        </w:tc>
      </w:tr>
      <w:tr>
        <w:tc>
          <w:tcPr>
            <w:tcW w:type="dxa" w:w="4320"/>
          </w:tcPr>
          <w:p>
            <w:r>
              <w:t>Inspection fee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40.00</w:t>
            </w:r>
          </w:p>
        </w:tc>
      </w:tr>
      <w:tr>
        <w:tc>
          <w:tcPr>
            <w:tcW w:type="dxa" w:w="4320"/>
          </w:tcPr>
          <w:p>
            <w:r>
              <w:t>Premium tax at 3.5 percent of subtotal plus fees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271.08</w:t>
            </w:r>
          </w:p>
        </w:tc>
      </w:tr>
      <w:tr>
        <w:tc>
          <w:tcPr>
            <w:tcW w:type="dxa" w:w="4320"/>
          </w:tcPr>
          <w:p>
            <w:r>
              <w:t>Total payable</w:t>
            </w:r>
          </w:p>
        </w:tc>
        <w:tc>
          <w:tcPr>
            <w:tcW w:type="dxa" w:w="4320"/>
          </w:tcPr>
          <w:p>
            <w:pPr>
              <w:jc w:val="right"/>
            </w:pPr>
            <w:r>
              <w:t>8016.08</w:t>
            </w:r>
          </w:p>
        </w:tc>
      </w:tr>
    </w:tbl>
    <w:p/>
    <w:p>
      <w:pPr>
        <w:pStyle w:val="Heading2"/>
      </w:pPr>
      <w:r>
        <w:t>Instalments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Instalment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Due date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Amount USD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2026-04-01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1603.22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2026-06-01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1603.22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2026-08-01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1603.22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2026-10-01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1603.22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2026-12-01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1603.20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Total</w:t>
            </w:r>
          </w:p>
        </w:tc>
        <w:tc>
          <w:tcPr>
            <w:tcW w:type="dxa" w:w="2880"/>
          </w:tcPr>
          <w:p>
            <w:pPr>
              <w:jc w:val="right"/>
            </w:pPr>
            <w:r>
              <w:t>8016.08</w:t>
            </w:r>
          </w:p>
        </w:tc>
      </w:tr>
    </w:tbl>
    <w:p/>
    <w:p>
      <w:r>
        <w:rPr>
          <w:sz w:val="16"/>
        </w:rPr>
        <w:t>The first 4 instalments are 1,603.22 USD and the last is 1,603.20 USD, because dividing 8,016.08 by 5 leaves a remainder that is taken off the final instalment rather than spread.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Schedule POL-2026-GL-0001</dc:title>
  <dc:subject>Fictional Mutual Insurance, fictional policy schedule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