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First Notice of Loss FNOL-2026-0003</w:t>
      </w:r>
    </w:p>
    <w:p>
      <w:r>
        <w:rPr>
          <w:i/>
          <w:sz w:val="18"/>
        </w:rPr>
        <w:t>Fictional Mutual Insurance, fictional claim form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Notification reference</w:t>
            </w:r>
          </w:p>
        </w:tc>
        <w:tc>
          <w:tcPr>
            <w:tcW w:type="dxa" w:w="4320"/>
          </w:tcPr>
          <w:p>
            <w:r>
              <w:t>FNOL-2026-0003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Claim number allocated</w:t>
            </w:r>
          </w:p>
        </w:tc>
        <w:tc>
          <w:tcPr>
            <w:tcW w:type="dxa" w:w="4320"/>
          </w:tcPr>
          <w:p>
            <w:r>
              <w:t>CLM-2026-0003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Policy number</w:t>
            </w:r>
          </w:p>
        </w:tc>
        <w:tc>
          <w:tcPr>
            <w:tcW w:type="dxa" w:w="4320"/>
          </w:tcPr>
          <w:p>
            <w:r>
              <w:t>POL-2026-GL-0001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Insured</w:t>
            </w:r>
          </w:p>
        </w:tc>
        <w:tc>
          <w:tcPr>
            <w:tcW w:type="dxa" w:w="4320"/>
          </w:tcPr>
          <w:p>
            <w:r>
              <w:t>Pine Property Services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of loss</w:t>
            </w:r>
          </w:p>
        </w:tc>
        <w:tc>
          <w:tcPr>
            <w:tcW w:type="dxa" w:w="4320"/>
          </w:tcPr>
          <w:p>
            <w:r>
              <w:t>6 August 2026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reported</w:t>
            </w:r>
          </w:p>
        </w:tc>
        <w:tc>
          <w:tcPr>
            <w:tcW w:type="dxa" w:w="4320"/>
          </w:tcPr>
          <w:p>
            <w:r>
              <w:t>7 August 2026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Reported by</w:t>
            </w:r>
          </w:p>
        </w:tc>
        <w:tc>
          <w:tcPr>
            <w:tcW w:type="dxa" w:w="4320"/>
          </w:tcPr>
          <w:p>
            <w:r>
              <w:t>Property contact 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Location</w:t>
            </w:r>
          </w:p>
        </w:tc>
        <w:tc>
          <w:tcPr>
            <w:tcW w:type="dxa" w:w="4320"/>
          </w:tcPr>
          <w:p>
            <w:r>
              <w:t>PROP-6 Fictional workspace 6, Suite 6, Fictional workspace 6 Building, 16 Example Way, Sample City, ZZ6 6ZZ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Peril</w:t>
            </w:r>
          </w:p>
        </w:tc>
        <w:tc>
          <w:tcPr>
            <w:tcW w:type="dxa" w:w="4320"/>
          </w:tcPr>
          <w:p>
            <w:r>
              <w:t>Escape of water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Related work order</w:t>
            </w:r>
          </w:p>
        </w:tc>
        <w:tc>
          <w:tcPr>
            <w:tcW w:type="dxa" w:w="4320"/>
          </w:tcPr>
          <w:p>
            <w:r>
              <w:t>WO-06 Lighting repair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Deductible</w:t>
            </w:r>
          </w:p>
        </w:tc>
        <w:tc>
          <w:tcPr>
            <w:tcW w:type="dxa" w:w="4320"/>
          </w:tcPr>
          <w:p>
            <w:r>
              <w:t>1,000.00 USD</w:t>
            </w:r>
          </w:p>
        </w:tc>
      </w:tr>
    </w:tbl>
    <w:p/>
    <w:p>
      <w:r>
        <w:rPr>
          <w:sz w:val="16"/>
        </w:rPr>
        <w:t>Fictional insurance paperwork generated for file-parsing tests. No policy exists, no cover is provided, and the insurer, broker and claim references are invented.</w:t>
      </w:r>
    </w:p>
    <w:p>
      <w:pPr>
        <w:pStyle w:val="Heading2"/>
      </w:pPr>
      <w:r>
        <w:t>What happened</w:t>
      </w:r>
    </w:p>
    <w:p>
      <w:r>
        <w:t>During the lighting repair recorded as work order WO-06 on 6 August 2026, water escaped from a supply pipe above the ceiling void at PROP-6 and damaged the retail fit-out below. The completion inspection for that work order is recorded as follow-up rather than pass.</w:t>
      </w:r>
    </w:p>
    <w:p>
      <w:pPr>
        <w:pStyle w:val="Heading2"/>
      </w:pPr>
      <w:r>
        <w:t>Immediate action taken</w:t>
      </w:r>
    </w:p>
    <w:p>
      <w:r>
        <w:t>The supply was isolated the same day, the affected area was dried and made safe, and the tenant was moved to the adjoining unit while the fit-out is replaced.</w:t>
      </w:r>
    </w:p>
    <w:p>
      <w:pPr>
        <w:pStyle w:val="Heading2"/>
      </w:pPr>
      <w:r>
        <w:t>Estimated loss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Item</w:t>
            </w:r>
          </w:p>
        </w:tc>
        <w:tc>
          <w:tcPr>
            <w:tcW w:type="dxa" w:w="2880"/>
          </w:tcPr>
          <w:p>
            <w:r>
              <w:rPr>
                <w:b/>
              </w:rPr>
              <w:t>Basis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Amount USD</w:t>
            </w:r>
          </w:p>
        </w:tc>
      </w:tr>
      <w:tr>
        <w:tc>
          <w:tcPr>
            <w:tcW w:type="dxa" w:w="2880"/>
          </w:tcPr>
          <w:p>
            <w:r>
              <w:t>Retail fit-out replacement</w:t>
            </w:r>
          </w:p>
        </w:tc>
        <w:tc>
          <w:tcPr>
            <w:tcW w:type="dxa" w:w="2880"/>
          </w:tcPr>
          <w:p>
            <w:r>
              <w:t>contractor estimate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14200.00</w:t>
            </w:r>
          </w:p>
        </w:tc>
      </w:tr>
      <w:tr>
        <w:tc>
          <w:tcPr>
            <w:tcW w:type="dxa" w:w="2880"/>
          </w:tcPr>
          <w:p>
            <w:r>
              <w:t>Floor covering</w:t>
            </w:r>
          </w:p>
        </w:tc>
        <w:tc>
          <w:tcPr>
            <w:tcW w:type="dxa" w:w="2880"/>
          </w:tcPr>
          <w:p>
            <w:r>
              <w:t>contractor estimate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2600.00</w:t>
            </w:r>
          </w:p>
        </w:tc>
      </w:tr>
      <w:tr>
        <w:tc>
          <w:tcPr>
            <w:tcW w:type="dxa" w:w="2880"/>
          </w:tcPr>
          <w:p>
            <w:r>
              <w:t>Drying and making safe</w:t>
            </w:r>
          </w:p>
        </w:tc>
        <w:tc>
          <w:tcPr>
            <w:tcW w:type="dxa" w:w="2880"/>
          </w:tcPr>
          <w:p>
            <w:r>
              <w:t>invoice received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1600.00</w:t>
            </w:r>
          </w:p>
        </w:tc>
      </w:tr>
      <w:tr>
        <w:tc>
          <w:tcPr>
            <w:tcW w:type="dxa" w:w="2880"/>
          </w:tcPr>
          <w:p>
            <w:r>
              <w:t>Estimated loss</w:t>
            </w:r>
          </w:p>
        </w:tc>
        <w:tc>
          <w:tcPr>
            <w:tcW w:type="dxa" w:w="2880"/>
          </w:tcPr>
          <w:p>
            <w:r>
              <w:t>sum of the three items above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18400.00</w:t>
            </w:r>
          </w:p>
        </w:tc>
      </w:tr>
    </w:tbl>
    <w:p/>
    <w:p>
      <w:pPr>
        <w:pStyle w:val="Heading2"/>
      </w:pPr>
      <w:r>
        <w:t>Declaration</w:t>
      </w:r>
    </w:p>
    <w:p>
      <w:r>
        <w:t>The information given is true to the best of the knowledge of the person reporting it. The insurer may inspect the damage before authorising repair.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Pine Property Services</w:t>
            </w:r>
          </w:p>
        </w:tc>
        <w:tc>
          <w:tcPr>
            <w:tcW w:type="dxa" w:w="2880"/>
          </w:tcPr>
          <w:p>
            <w:r>
              <w:t>Fictional operations manager</w:t>
            </w:r>
          </w:p>
        </w:tc>
        <w:tc>
          <w:tcPr>
            <w:tcW w:type="dxa" w:w="2880"/>
          </w:tcPr>
          <w:p>
            <w:r>
              <w:t>2026-08-07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Notice of Loss FNOL-2026-0003</dc:title>
  <dc:subject>Fictional Mutual Insurance, fictional claim form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