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Superbill ENC-0006</w:t>
      </w:r>
    </w:p>
    <w:p>
      <w:r>
        <w:rPr>
          <w:i/>
          <w:sz w:val="18"/>
        </w:rPr>
        <w:t>Juniper Fitness and Clinic Administration, fictional superbill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Encounter</w:t>
            </w:r>
          </w:p>
        </w:tc>
        <w:tc>
          <w:tcPr>
            <w:tcW w:type="dxa" w:w="4320"/>
          </w:tcPr>
          <w:p>
            <w:r>
              <w:t>ENC-0006</w:t>
            </w:r>
          </w:p>
        </w:tc>
      </w:tr>
      <w:tr>
        <w:tc>
          <w:tcPr>
            <w:tcW w:type="dxa" w:w="4320"/>
          </w:tcPr>
          <w:p>
            <w:r>
              <w:rPr>
                <w:b/>
              </w:rPr>
              <w:t>Claim reference</w:t>
            </w:r>
          </w:p>
        </w:tc>
        <w:tc>
          <w:tcPr>
            <w:tcW w:type="dxa" w:w="4320"/>
          </w:tcPr>
          <w:p>
            <w:r>
              <w:t>CLM-0006</w:t>
            </w:r>
          </w:p>
        </w:tc>
      </w:tr>
      <w:tr>
        <w:tc>
          <w:tcPr>
            <w:tcW w:type="dxa" w:w="4320"/>
          </w:tcPr>
          <w:p>
            <w:r>
              <w:rPr>
                <w:b/>
              </w:rPr>
              <w:t>Clinic</w:t>
            </w:r>
          </w:p>
        </w:tc>
        <w:tc>
          <w:tcPr>
            <w:tcW w:type="dxa" w:w="4320"/>
          </w:tcPr>
          <w:p>
            <w:r>
              <w:t>Juniper Fitness and Clinic Administration, Suite 3, Juniper Clinic Building, 13 Example Way, Sample City, ZZ3 3ZZ</w:t>
            </w:r>
          </w:p>
        </w:tc>
      </w:tr>
      <w:tr>
        <w:tc>
          <w:tcPr>
            <w:tcW w:type="dxa" w:w="4320"/>
          </w:tcPr>
          <w:p>
            <w:r>
              <w:rPr>
                <w:b/>
              </w:rPr>
              <w:t>Clinic identifier</w:t>
            </w:r>
          </w:p>
        </w:tc>
        <w:tc>
          <w:tcPr>
            <w:tcW w:type="dxa" w:w="4320"/>
          </w:tcPr>
          <w:p>
            <w:r>
              <w:t>1000000012</w:t>
            </w:r>
          </w:p>
        </w:tc>
      </w:tr>
      <w:tr>
        <w:tc>
          <w:tcPr>
            <w:tcW w:type="dxa" w:w="4320"/>
          </w:tcPr>
          <w:p>
            <w:r>
              <w:rPr>
                <w:b/>
              </w:rPr>
              <w:t>Billing tax identifier</w:t>
            </w:r>
          </w:p>
        </w:tc>
        <w:tc>
          <w:tcPr>
            <w:tcW w:type="dxa" w:w="4320"/>
          </w:tcPr>
          <w:p>
            <w:r>
              <w:t>00-0000005</w:t>
            </w:r>
          </w:p>
        </w:tc>
      </w:tr>
      <w:tr>
        <w:tc>
          <w:tcPr>
            <w:tcW w:type="dxa" w:w="4320"/>
          </w:tcPr>
          <w:p>
            <w:r>
              <w:rPr>
                <w:b/>
              </w:rPr>
              <w:t>Provider</w:t>
            </w:r>
          </w:p>
        </w:tc>
        <w:tc>
          <w:tcPr>
            <w:tcW w:type="dxa" w:w="4320"/>
          </w:tcPr>
          <w:p>
            <w:r>
              <w:t>Desk A (PRO-1), identifier 1000000020</w:t>
            </w:r>
          </w:p>
        </w:tc>
      </w:tr>
      <w:tr>
        <w:tc>
          <w:tcPr>
            <w:tcW w:type="dxa" w:w="4320"/>
          </w:tcPr>
          <w:p>
            <w:r>
              <w:rPr>
                <w:b/>
              </w:rPr>
              <w:t>Service</w:t>
            </w:r>
          </w:p>
        </w:tc>
        <w:tc>
          <w:tcPr>
            <w:tcW w:type="dxa" w:w="4320"/>
          </w:tcPr>
          <w:p>
            <w:r>
              <w:t>General appointment</w:t>
            </w:r>
          </w:p>
        </w:tc>
      </w:tr>
      <w:tr>
        <w:tc>
          <w:tcPr>
            <w:tcW w:type="dxa" w:w="4320"/>
          </w:tcPr>
          <w:p>
            <w:r>
              <w:rPr>
                <w:b/>
              </w:rPr>
              <w:t>Room</w:t>
            </w:r>
          </w:p>
        </w:tc>
        <w:tc>
          <w:tcPr>
            <w:tcW w:type="dxa" w:w="4320"/>
          </w:tcPr>
          <w:p>
            <w:r>
              <w:t>Consultation room</w:t>
            </w:r>
          </w:p>
        </w:tc>
      </w:tr>
      <w:tr>
        <w:tc>
          <w:tcPr>
            <w:tcW w:type="dxa" w:w="4320"/>
          </w:tcPr>
          <w:p>
            <w:r>
              <w:rPr>
                <w:b/>
              </w:rPr>
              <w:t>Patient</w:t>
            </w:r>
          </w:p>
        </w:tc>
        <w:tc>
          <w:tcPr>
            <w:tcW w:type="dxa" w:w="4320"/>
          </w:tcPr>
          <w:p>
            <w:r>
              <w:t>Sample visitor 7 (PAT-006)</w:t>
            </w:r>
          </w:p>
        </w:tc>
      </w:tr>
      <w:tr>
        <w:tc>
          <w:tcPr>
            <w:tcW w:type="dxa" w:w="4320"/>
          </w:tcPr>
          <w:p>
            <w:r>
              <w:rPr>
                <w:b/>
              </w:rPr>
              <w:t>Date and time of service</w:t>
            </w:r>
          </w:p>
        </w:tc>
        <w:tc>
          <w:tcPr>
            <w:tcW w:type="dxa" w:w="4320"/>
          </w:tcPr>
          <w:p>
            <w:r>
              <w:t>2026-09-08 11:00</w:t>
            </w:r>
          </w:p>
        </w:tc>
      </w:tr>
      <w:tr>
        <w:tc>
          <w:tcPr>
            <w:tcW w:type="dxa" w:w="4320"/>
          </w:tcPr>
          <w:p>
            <w:r>
              <w:rPr>
                <w:b/>
              </w:rPr>
              <w:t>Payer</w:t>
            </w:r>
          </w:p>
        </w:tc>
        <w:tc>
          <w:tcPr>
            <w:tcW w:type="dxa" w:w="4320"/>
          </w:tcPr>
          <w:p>
            <w:r>
              <w:t>Sample Health Plan (PYR-01)</w:t>
            </w:r>
          </w:p>
        </w:tc>
      </w:tr>
      <w:tr>
        <w:tc>
          <w:tcPr>
            <w:tcW w:type="dxa" w:w="4320"/>
          </w:tcPr>
          <w:p>
            <w:r>
              <w:rPr>
                <w:b/>
              </w:rPr>
              <w:t>Diagnosis code</w:t>
            </w:r>
          </w:p>
        </w:tc>
        <w:tc>
          <w:tcPr>
            <w:tcW w:type="dxa" w:w="4320"/>
          </w:tcPr>
          <w:p>
            <w:r>
              <w:t>Z0001 Routine assessment, no complaint recorded</w:t>
            </w:r>
          </w:p>
        </w:tc>
      </w:tr>
    </w:tbl>
    <w:p/>
    <w:p>
      <w:r>
        <w:rPr>
          <w:sz w:val="16"/>
        </w:rPr>
        <w:t>Fictional claim administration generated for file-parsing tests. No claim was submitted, no benefit is payable, and every identifier uses a reserved prefix.</w:t>
      </w:r>
    </w:p>
    <w:p>
      <w:r>
        <w:rPr>
          <w:sz w:val="16"/>
        </w:rPr>
        <w:t>No fixture in this set holds a clinical record. Procedure and diagnosis codes are synthetic five-character placeholders in the right shape, not CPT, HCPCS or ICD values, and the patients are the fictional visitor names the appointment model already carries.</w:t>
      </w:r>
    </w:p>
    <w:p>
      <w:pPr>
        <w:pStyle w:val="Heading2"/>
      </w:pPr>
      <w:r>
        <w:t>Services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Line</w:t>
            </w:r>
          </w:p>
        </w:tc>
        <w:tc>
          <w:tcPr>
            <w:tcW w:type="dxa" w:w="1728"/>
          </w:tcPr>
          <w:p>
            <w:r>
              <w:rPr>
                <w:b/>
              </w:rPr>
              <w:t>Code</w:t>
            </w:r>
          </w:p>
        </w:tc>
        <w:tc>
          <w:tcPr>
            <w:tcW w:type="dxa" w:w="1728"/>
          </w:tcPr>
          <w:p>
            <w:r>
              <w:rPr>
                <w:b/>
              </w:rPr>
              <w:t>Description</w:t>
            </w:r>
          </w:p>
        </w:tc>
        <w:tc>
          <w:tcPr>
            <w:tcW w:type="dxa" w:w="1728"/>
          </w:tcPr>
          <w:p>
            <w:r>
              <w:rPr>
                <w:b/>
              </w:rPr>
              <w:t>Units</w:t>
            </w:r>
          </w:p>
        </w:tc>
        <w:tc>
          <w:tcPr>
            <w:tcW w:type="dxa" w:w="1728"/>
          </w:tcPr>
          <w:p>
            <w:r>
              <w:rPr>
                <w:b/>
              </w:rPr>
              <w:t>Charge USD</w:t>
            </w:r>
          </w:p>
        </w:tc>
      </w:tr>
      <w:tr>
        <w:tc>
          <w:tcPr>
            <w:tcW w:type="dxa" w:w="1728"/>
          </w:tcPr>
          <w:p>
            <w:r>
              <w:t>1</w:t>
            </w:r>
          </w:p>
        </w:tc>
        <w:tc>
          <w:tcPr>
            <w:tcW w:type="dxa" w:w="1728"/>
          </w:tcPr>
          <w:p>
            <w:r>
              <w:t>X1001</w:t>
            </w:r>
          </w:p>
        </w:tc>
        <w:tc>
          <w:tcPr>
            <w:tcW w:type="dxa" w:w="1728"/>
          </w:tcPr>
          <w:p>
            <w:r>
              <w:t>Initial assessment, 30 minutes</w:t>
            </w:r>
          </w:p>
        </w:tc>
        <w:tc>
          <w:tcPr>
            <w:tcW w:type="dxa" w:w="1728"/>
          </w:tcPr>
          <w:p>
            <w:pPr>
              <w:jc w:val="right"/>
            </w:pPr>
            <w:r>
              <w:t>1</w:t>
            </w:r>
          </w:p>
        </w:tc>
        <w:tc>
          <w:tcPr>
            <w:tcW w:type="dxa" w:w="1728"/>
          </w:tcPr>
          <w:p>
            <w:pPr>
              <w:jc w:val="right"/>
            </w:pPr>
            <w:r>
              <w:t>120.00</w:t>
            </w:r>
          </w:p>
        </w:tc>
      </w:tr>
      <w:tr>
        <w:tc>
          <w:tcPr>
            <w:tcW w:type="dxa" w:w="1728"/>
          </w:tcPr>
          <w:p>
            <w:r>
              <w:t>2</w:t>
            </w:r>
          </w:p>
        </w:tc>
        <w:tc>
          <w:tcPr>
            <w:tcW w:type="dxa" w:w="1728"/>
          </w:tcPr>
          <w:p>
            <w:r>
              <w:t>X1002</w:t>
            </w:r>
          </w:p>
        </w:tc>
        <w:tc>
          <w:tcPr>
            <w:tcW w:type="dxa" w:w="1728"/>
          </w:tcPr>
          <w:p>
            <w:r>
              <w:t>Follow-up assessment, 20 minutes</w:t>
            </w:r>
          </w:p>
        </w:tc>
        <w:tc>
          <w:tcPr>
            <w:tcW w:type="dxa" w:w="1728"/>
          </w:tcPr>
          <w:p>
            <w:pPr>
              <w:jc w:val="right"/>
            </w:pPr>
            <w:r>
              <w:t>1</w:t>
            </w:r>
          </w:p>
        </w:tc>
        <w:tc>
          <w:tcPr>
            <w:tcW w:type="dxa" w:w="1728"/>
          </w:tcPr>
          <w:p>
            <w:pPr>
              <w:jc w:val="right"/>
            </w:pPr>
            <w:r>
              <w:t>85.00</w:t>
            </w:r>
          </w:p>
        </w:tc>
      </w:tr>
      <w:tr>
        <w:tc>
          <w:tcPr>
            <w:tcW w:type="dxa" w:w="1728"/>
          </w:tcPr>
          <w:p>
            <w:r/>
          </w:p>
        </w:tc>
        <w:tc>
          <w:tcPr>
            <w:tcW w:type="dxa" w:w="1728"/>
          </w:tcPr>
          <w:p>
            <w:r/>
          </w:p>
        </w:tc>
        <w:tc>
          <w:tcPr>
            <w:tcW w:type="dxa" w:w="1728"/>
          </w:tcPr>
          <w:p>
            <w:r>
              <w:t>Total charge</w:t>
            </w:r>
          </w:p>
        </w:tc>
        <w:tc>
          <w:tcPr>
            <w:tcW w:type="dxa" w:w="1728"/>
          </w:tcPr>
          <w:p>
            <w:pPr>
              <w:jc w:val="right"/>
            </w:pPr>
            <w:r>
              <w:t>2</w:t>
            </w:r>
          </w:p>
        </w:tc>
        <w:tc>
          <w:tcPr>
            <w:tcW w:type="dxa" w:w="1728"/>
          </w:tcPr>
          <w:p>
            <w:pPr>
              <w:jc w:val="right"/>
            </w:pPr>
            <w:r>
              <w:t>205.00</w:t>
            </w:r>
          </w:p>
        </w:tc>
      </w:tr>
    </w:tbl>
    <w:p/>
    <w:p>
      <w:pPr>
        <w:pStyle w:val="Heading2"/>
      </w:pPr>
      <w:r>
        <w:t>What happens next</w:t>
      </w:r>
    </w:p>
    <w:p>
      <w:r>
        <w:t>The clinic submits this encounter as claim CLM-0006 on an 837 professional claim. The payer allows 164.00 USD of the 205.00 USD charged, writes off 41.00 as a contractual adjustment that is never billed to the patient, pays 131.20 and leaves 32.80 as patient coinsurance.</w:t>
      </w:r>
    </w:p>
    <w:p>
      <w:pPr>
        <w:pStyle w:val="Heading2"/>
      </w:pPr>
      <w:r>
        <w:t>Patient responsibility</w:t>
      </w:r>
    </w:p>
    <w:p>
      <w:r>
        <w:t>The patient owes 32.80 USD, which is 20 percent of the allowed amount and not 20 percent of the charge. The difference between those two figures is the single most common error in reading a remittance.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Superbill ENC-0006</dc:title>
  <dc:subject>Juniper Fitness and Clinic Administration, fictional superbill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