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Independent Contractor Agreement CTR-2026-01</w:t>
      </w:r>
    </w:p>
    <w:p>
      <w:r>
        <w:rPr>
          <w:i/>
          <w:sz w:val="18"/>
        </w:rPr>
        <w:t>Tern Client Services and Sample specialist 1, fictional agreement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Agreement reference</w:t>
            </w:r>
          </w:p>
        </w:tc>
        <w:tc>
          <w:tcPr>
            <w:tcW w:type="dxa" w:w="4320"/>
          </w:tcPr>
          <w:p>
            <w:r>
              <w:t>CTR-2026-01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4320"/>
          </w:tcPr>
          <w:p>
            <w:r>
              <w:t>Tern Client Services, Unit 4, Tern Client Services Building, 40 Example Way, Sample City, ZZ4 0ZZ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Contractor</w:t>
            </w:r>
          </w:p>
        </w:tc>
        <w:tc>
          <w:tcPr>
            <w:tcW w:type="dxa" w:w="4320"/>
          </w:tcPr>
          <w:p>
            <w:r>
              <w:t>Sample specialist 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Engagement start</w:t>
            </w:r>
          </w:p>
        </w:tc>
        <w:tc>
          <w:tcPr>
            <w:tcW w:type="dxa" w:w="4320"/>
          </w:tcPr>
          <w:p>
            <w:r>
              <w:t>1 July 2026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Engagement end</w:t>
            </w:r>
          </w:p>
        </w:tc>
        <w:tc>
          <w:tcPr>
            <w:tcW w:type="dxa" w:w="4320"/>
          </w:tcPr>
          <w:p>
            <w:r>
              <w:t>30 June 2027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Notice</w:t>
            </w:r>
          </w:p>
        </w:tc>
        <w:tc>
          <w:tcPr>
            <w:tcW w:type="dxa" w:w="4320"/>
          </w:tcPr>
          <w:p>
            <w:r>
              <w:t>30 days either way, per clause 7.2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Contractor rate</w:t>
            </w:r>
          </w:p>
        </w:tc>
        <w:tc>
          <w:tcPr>
            <w:tcW w:type="dxa" w:w="4320"/>
          </w:tcPr>
          <w:p>
            <w:r>
              <w:t>60.00 USD per recorded hour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Client bill rate</w:t>
            </w:r>
          </w:p>
        </w:tc>
        <w:tc>
          <w:tcPr>
            <w:tcW w:type="dxa" w:w="4320"/>
          </w:tcPr>
          <w:p>
            <w:r>
              <w:t>100.00 USD per recorded hour, a separate figure under MSA-2026-01 clause 3.1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Hours recorded to date</w:t>
            </w:r>
          </w:p>
        </w:tc>
        <w:tc>
          <w:tcPr>
            <w:tcW w:type="dxa" w:w="4320"/>
          </w:tcPr>
          <w:p>
            <w:r>
              <w:t>16 on PROJECT-1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Fees payable to date</w:t>
            </w:r>
          </w:p>
        </w:tc>
        <w:tc>
          <w:tcPr>
            <w:tcW w:type="dxa" w:w="4320"/>
          </w:tcPr>
          <w:p>
            <w:r>
              <w:t>960.00 USD</w:t>
            </w:r>
          </w:p>
        </w:tc>
      </w:tr>
    </w:tbl>
    <w:p/>
    <w:p>
      <w:r>
        <w:rPr>
          <w:sz w:val="16"/>
        </w:rPr>
        <w:t>Fictional agreement generated for file-parsing tests. It is not legal advice, not a template to sign, and the parties, addresses and identifiers do not exist.</w:t>
      </w:r>
    </w:p>
    <w:p>
      <w:pPr>
        <w:pStyle w:val="Heading2"/>
      </w:pPr>
      <w:r>
        <w:t>1. Status</w:t>
      </w:r>
    </w:p>
    <w:p>
      <w:r>
        <w:t>1.1 The Contractor is an independent contractor and not an employee, worker or partner of the Company. Nothing in this agreement creates an employment relationship.</w:t>
      </w:r>
    </w:p>
    <w:p>
      <w:r>
        <w:t>1.2 The Contractor is responsible for the Contractor own tax and social contributions on the fees paid under clause 3.1.</w:t>
      </w:r>
    </w:p>
    <w:p>
      <w:pPr>
        <w:pStyle w:val="Heading2"/>
      </w:pPr>
      <w:r>
        <w:t>2. Services</w:t>
      </w:r>
    </w:p>
    <w:p>
      <w:r>
        <w:t>2.1 The Contractor will perform the work assigned under a statement of work between the Company and its client, using the Contractor own equipment except where the client site requires otherwise.</w:t>
      </w:r>
    </w:p>
    <w:p>
      <w:r>
        <w:t>2.2 The Contractor may send a suitably qualified substitute with the Company written agreement.</w:t>
      </w:r>
    </w:p>
    <w:p>
      <w:pPr>
        <w:pStyle w:val="Heading2"/>
      </w:pPr>
      <w:r>
        <w:t>3. Fees</w:t>
      </w:r>
    </w:p>
    <w:p>
      <w:r>
        <w:t>3.1 The Company pays the Contractor 60.00 USD for each hour recorded against an assigned statement of work. The Company bills its client separately at its own standard rate; the two rates are not the same number and are not connected.</w:t>
      </w:r>
    </w:p>
    <w:p>
      <w:r>
        <w:t>3.2 The Contractor submits recorded hours monthly. The Company pays within fifteen days of receiving them.</w:t>
      </w:r>
    </w:p>
    <w:p>
      <w:pPr>
        <w:pStyle w:val="Heading2"/>
      </w:pPr>
      <w:r>
        <w:t>4. Expenses</w:t>
      </w:r>
    </w:p>
    <w:p>
      <w:r>
        <w:t>4.1 Expenses are reimbursed only when approved in writing before they are incurred.</w:t>
      </w:r>
    </w:p>
    <w:p>
      <w:pPr>
        <w:pStyle w:val="Heading2"/>
      </w:pPr>
      <w:r>
        <w:t>5. Confidentiality</w:t>
      </w:r>
    </w:p>
    <w:p>
      <w:r>
        <w:t>5.1 The Contractor keeps the Company and client information confidential on the same terms the Company owes its client, and those obligations survive the end of this agreement.</w:t>
      </w:r>
    </w:p>
    <w:p>
      <w:pPr>
        <w:pStyle w:val="Heading2"/>
      </w:pPr>
      <w:r>
        <w:t>6. Intellectual property</w:t>
      </w:r>
    </w:p>
    <w:p>
      <w:r>
        <w:t>6.1 The Contractor assigns to the Company all intellectual property created in performing the work, so the Company can pass it to its client under its own agreement.</w:t>
      </w:r>
    </w:p>
    <w:p>
      <w:pPr>
        <w:pStyle w:val="Heading2"/>
      </w:pPr>
      <w:r>
        <w:t>7. Term</w:t>
      </w:r>
    </w:p>
    <w:p>
      <w:r>
        <w:t>7.1 This agreement starts on 1 July 2026 and runs for twelve months, ending on 30 June 2027, unless ended earlier under clause 7.2.</w:t>
      </w:r>
    </w:p>
    <w:p>
      <w:r>
        <w:t>7.2 Either party may end this agreement on thirty days written notice.</w:t>
      </w:r>
    </w:p>
    <w:p>
      <w:pPr>
        <w:pStyle w:val="Heading2"/>
      </w:pPr>
      <w:r>
        <w:t>8. General</w:t>
      </w:r>
    </w:p>
    <w:p>
      <w:r>
        <w:t>8.1 This agreement is governed by the law of the fictional jurisdiction of Sample City.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Tern Client Services</w:t>
            </w:r>
          </w:p>
        </w:tc>
        <w:tc>
          <w:tcPr>
            <w:tcW w:type="dxa" w:w="2880"/>
          </w:tcPr>
          <w:p>
            <w:r>
              <w:t>Fictional director, Tern Client Services</w:t>
            </w:r>
          </w:p>
        </w:tc>
        <w:tc>
          <w:tcPr>
            <w:tcW w:type="dxa" w:w="2880"/>
          </w:tcPr>
          <w:p>
            <w:r>
              <w:t>1 July 2026</w:t>
            </w:r>
          </w:p>
        </w:tc>
      </w:tr>
      <w:tr>
        <w:tc>
          <w:tcPr>
            <w:tcW w:type="dxa" w:w="2880"/>
          </w:tcPr>
          <w:p>
            <w:r>
              <w:t>Sample specialist 1</w:t>
            </w:r>
          </w:p>
        </w:tc>
        <w:tc>
          <w:tcPr>
            <w:tcW w:type="dxa" w:w="2880"/>
          </w:tcPr>
          <w:p>
            <w:r>
              <w:t>Contractor</w:t>
            </w:r>
          </w:p>
        </w:tc>
        <w:tc>
          <w:tcPr>
            <w:tcW w:type="dxa" w:w="2880"/>
          </w:tcPr>
          <w:p>
            <w:r>
              <w:t>1 July 2026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Contractor Agreement CTR-2026-01</dc:title>
  <dc:subject>Tern Client Services and Sample specialist 1, fictional agreement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